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de reprise de gestion</w:t>
      </w:r>
    </w:p>
    <w:p>
      <w:r>
        <w:t>À utiliser pour un logement déjà loué lors d’un changement de gestionnaire. Cette checklist ne résilie pas le mandat et ne détermine pas le préavis. Faites vérifier les conditions et le calendrier avant d’organiser la transmission.</w:t>
      </w:r>
    </w:p>
    <w:p>
      <w:r>
        <w:t>Logement et lot : ........................................................................................................................</w:t>
        <w:br/>
        <w:t>Date souhaitée de reprise : .................................. Date confirmée après examen : ........................</w:t>
      </w:r>
    </w:p>
    <w:p>
      <w:pPr>
        <w:pStyle w:val="Heading1"/>
      </w:pPr>
      <w:r>
        <w:t>Mandat et calendrier</w:t>
      </w:r>
    </w:p>
    <w:p>
      <w:r>
        <w:t>[  ] Mandat actuel complet, avenants, conditions de résiliation et dernière reconduction</w:t>
      </w:r>
    </w:p>
    <w:p>
      <w:r>
        <w:t>[  ] Date souhaitée de reprise et échéance à confirmer après lecture du mandat</w:t>
      </w:r>
    </w:p>
    <w:p>
      <w:r>
        <w:t>[  ] Copie de la demande de résiliation et preuve de réception ou d’envoi</w:t>
      </w:r>
    </w:p>
    <w:p>
      <w:r>
        <w:t>[  ] Accord écrit sur la date de fin de mission et les dernières opérations à traiter</w:t>
      </w:r>
    </w:p>
    <w:p>
      <w:pPr>
        <w:pStyle w:val="Heading1"/>
      </w:pPr>
      <w:r>
        <w:t>Bail et occupation</w:t>
      </w:r>
    </w:p>
    <w:p>
      <w:r>
        <w:t>[  ] Bail signé et avenants, acte de caution, état des lieux d’entrée et inventaire si meublé</w:t>
      </w:r>
    </w:p>
    <w:p>
      <w:r>
        <w:t>[  ] Diagnostics, notices et annexes remis au locataire</w:t>
      </w:r>
    </w:p>
    <w:p>
      <w:r>
        <w:t>[  ] Identité et coordonnées utiles des parties, références du lot et du logement</w:t>
      </w:r>
    </w:p>
    <w:p>
      <w:r>
        <w:t>[  ] Loyer, provision ou forfait de charges, date de révision, dernier indice appliqué</w:t>
      </w:r>
    </w:p>
    <w:p>
      <w:r>
        <w:t>[  ] Congé, renouvellement ou demande du locataire à examiner avec ses dates</w:t>
      </w:r>
    </w:p>
    <w:p>
      <w:pPr>
        <w:pStyle w:val="Heading1"/>
      </w:pPr>
      <w:r>
        <w:t>Répartir les opérations</w:t>
      </w:r>
    </w:p>
    <w:p>
      <w:r>
        <w:t>Confirmer qui informe le locataire, encaisse le prochain loyer, clôture les comptes et transmet les fonds. Signaler dès le premier échange tout impayé, sinistre, congé ou travaux en cours.</w:t>
      </w:r>
    </w:p>
    <w:tbl>
      <w:tblPr>
        <w:tblStyle w:val="TableGrid"/>
        <w:tblW w:type="auto" w:w="0"/>
        <w:tblLook w:firstColumn="1" w:firstRow="1" w:lastColumn="0" w:lastRow="0" w:noHBand="0" w:noVBand="1" w:val="04A0"/>
      </w:tblPr>
      <w:tblGrid>
        <w:gridCol w:w="3298"/>
        <w:gridCol w:w="3298"/>
        <w:gridCol w:w="3298"/>
      </w:tblGrid>
      <w:tr>
        <w:trPr>
          <w:trHeight w:val="360"/>
          <w:tblHeader/>
          <w:cantSplit/>
        </w:trPr>
        <w:tc>
          <w:tcPr>
            <w:tcW w:type="dxa" w:w="3298"/>
          </w:tcPr>
          <w:p>
            <w:pPr>
              <w:spacing w:after="60"/>
            </w:pPr>
            <w:r>
              <w:rPr>
                <w:sz w:val="16"/>
              </w:rPr>
              <w:t>Pièce ou action manquante</w:t>
            </w:r>
          </w:p>
        </w:tc>
        <w:tc>
          <w:tcPr>
            <w:tcW w:type="dxa" w:w="3298"/>
          </w:tcPr>
          <w:p>
            <w:pPr>
              <w:spacing w:after="60"/>
            </w:pPr>
            <w:r>
              <w:rPr>
                <w:sz w:val="16"/>
              </w:rPr>
              <w:t>Demandée à et le</w:t>
            </w:r>
          </w:p>
        </w:tc>
        <w:tc>
          <w:tcPr>
            <w:tcW w:type="dxa" w:w="3298"/>
          </w:tcPr>
          <w:p>
            <w:pPr>
              <w:spacing w:after="60"/>
            </w:pPr>
            <w:r>
              <w:rPr>
                <w:sz w:val="16"/>
              </w:rPr>
              <w:t>Reçue le</w:t>
            </w:r>
          </w:p>
        </w:tc>
      </w:tr>
      <w:tr>
        <w:trPr>
          <w:trHeight w:val="360"/>
          <w:cantSplit/>
        </w:trPr>
        <w:tc>
          <w:tcPr>
            <w:tcW w:type="dxa" w:w="3298"/>
          </w:tcPr>
          <w:p>
            <w:pPr>
              <w:spacing w:after="60"/>
            </w:pPr>
            <w:r>
              <w:rPr>
                <w:sz w:val="16"/>
              </w:rPr>
            </w:r>
          </w:p>
        </w:tc>
        <w:tc>
          <w:tcPr>
            <w:tcW w:type="dxa" w:w="3298"/>
          </w:tcPr>
          <w:p>
            <w:pPr>
              <w:spacing w:after="60"/>
            </w:pPr>
            <w:r>
              <w:rPr>
                <w:sz w:val="16"/>
              </w:rPr>
            </w:r>
          </w:p>
        </w:tc>
        <w:tc>
          <w:tcPr>
            <w:tcW w:type="dxa" w:w="3298"/>
          </w:tcPr>
          <w:p>
            <w:pPr>
              <w:spacing w:after="60"/>
            </w:pPr>
            <w:r>
              <w:rPr>
                <w:sz w:val="16"/>
              </w:rPr>
            </w:r>
          </w:p>
        </w:tc>
      </w:tr>
      <w:tr>
        <w:trPr>
          <w:trHeight w:val="360"/>
          <w:cantSplit/>
        </w:trPr>
        <w:tc>
          <w:tcPr>
            <w:tcW w:type="dxa" w:w="3298"/>
          </w:tcPr>
          <w:p>
            <w:pPr>
              <w:spacing w:after="60"/>
            </w:pPr>
            <w:r>
              <w:rPr>
                <w:sz w:val="16"/>
              </w:rPr>
            </w:r>
          </w:p>
        </w:tc>
        <w:tc>
          <w:tcPr>
            <w:tcW w:type="dxa" w:w="3298"/>
          </w:tcPr>
          <w:p>
            <w:pPr>
              <w:spacing w:after="60"/>
            </w:pPr>
            <w:r>
              <w:rPr>
                <w:sz w:val="16"/>
              </w:rPr>
            </w:r>
          </w:p>
        </w:tc>
        <w:tc>
          <w:tcPr>
            <w:tcW w:type="dxa" w:w="3298"/>
          </w:tcPr>
          <w:p>
            <w:pPr>
              <w:spacing w:after="60"/>
            </w:pPr>
            <w:r>
              <w:rPr>
                <w:sz w:val="16"/>
              </w:rPr>
            </w:r>
          </w:p>
        </w:tc>
      </w:tr>
      <w:tr>
        <w:trPr>
          <w:trHeight w:val="360"/>
          <w:cantSplit/>
        </w:trPr>
        <w:tc>
          <w:tcPr>
            <w:tcW w:type="dxa" w:w="3298"/>
          </w:tcPr>
          <w:p>
            <w:pPr>
              <w:spacing w:after="60"/>
            </w:pPr>
            <w:r>
              <w:rPr>
                <w:sz w:val="16"/>
              </w:rPr>
            </w:r>
          </w:p>
        </w:tc>
        <w:tc>
          <w:tcPr>
            <w:tcW w:type="dxa" w:w="3298"/>
          </w:tcPr>
          <w:p>
            <w:pPr>
              <w:spacing w:after="60"/>
            </w:pPr>
            <w:r>
              <w:rPr>
                <w:sz w:val="16"/>
              </w:rPr>
            </w:r>
          </w:p>
        </w:tc>
        <w:tc>
          <w:tcPr>
            <w:tcW w:type="dxa" w:w="3298"/>
          </w:tcPr>
          <w:p>
            <w:pPr>
              <w:spacing w:after="60"/>
            </w:pPr>
            <w:r>
              <w:rPr>
                <w:sz w:val="16"/>
              </w:rPr>
            </w:r>
          </w:p>
        </w:tc>
      </w:tr>
    </w:tbl>
    <w:p>
      <w:r>
        <w:br w:type="page"/>
      </w:r>
    </w:p>
    <w:p>
      <w:pPr>
        <w:pStyle w:val="Heading1"/>
      </w:pPr>
      <w:r>
        <w:t>Continuité des comptes et des dossiers</w:t>
      </w:r>
    </w:p>
    <w:p>
      <w:pPr>
        <w:pStyle w:val="Heading1"/>
      </w:pPr>
      <w:r>
        <w:t>Comptes et fonds</w:t>
      </w:r>
    </w:p>
    <w:p>
      <w:r>
        <w:t>[  ] Compte locataire détaillé, quittancement, encaissements et derniers versements propriétaire</w:t>
      </w:r>
    </w:p>
    <w:p>
      <w:r>
        <w:t>[  ] Dépôt de garantie : montant, détenteur actuel et transfert à organiser</w:t>
      </w:r>
    </w:p>
    <w:p>
      <w:r>
        <w:t>[  ] Régularisations de charges, décomptes de copropriété et périodes restant à traiter</w:t>
      </w:r>
    </w:p>
    <w:p>
      <w:r>
        <w:t>[  ] Dépenses engagées, factures non réglées et honoraires de clôture prévus au contrat</w:t>
      </w:r>
    </w:p>
    <w:p>
      <w:pPr>
        <w:pStyle w:val="Heading1"/>
      </w:pPr>
      <w:r>
        <w:t>Assurances et dossiers en cours</w:t>
      </w:r>
    </w:p>
    <w:p>
      <w:r>
        <w:t>[  ] GLI : contrat, agrément, sinistres déclarés et conditions de maintien à confirmer avec l’assureur</w:t>
      </w:r>
    </w:p>
    <w:p>
      <w:r>
        <w:t>[  ] PNO, attestation du locataire, sinistres et échanges avec assureurs ou experts</w:t>
      </w:r>
    </w:p>
    <w:p>
      <w:r>
        <w:t>[  ] Impayés, relances, actes et coordonnées des intervenants ou conseils</w:t>
      </w:r>
    </w:p>
    <w:p>
      <w:r>
        <w:t>[  ] Devis, travaux, commandes, clés et coordonnées du syndic et des entreprises</w:t>
      </w:r>
    </w:p>
    <w:p>
      <w:pPr>
        <w:pStyle w:val="Heading1"/>
      </w:pPr>
      <w:r>
        <w:t>Contrôle lors de la bascule</w:t>
      </w:r>
    </w:p>
    <w:p>
      <w:r>
        <w:t>[  ] Valider les coordonnées de paiement et l’information du locataire</w:t>
      </w:r>
    </w:p>
    <w:p>
      <w:r>
        <w:t>[  ] Rapprocher l’arrêté de compte avec les encaissements et fonds effectivement transférés</w:t>
      </w:r>
    </w:p>
    <w:p>
      <w:r>
        <w:t>[  ] Recenser les clés, attribuer les urgences et relancer les pièces manquantes</w:t>
      </w:r>
    </w:p>
    <w:p>
      <w:r>
        <w:t>[  ] Confirmer le premier compte rendu et le prochain versement au propriétaire</w:t>
      </w:r>
    </w:p>
    <w:tbl>
      <w:tblPr>
        <w:tblStyle w:val="TableGrid"/>
        <w:tblW w:type="auto" w:w="0"/>
        <w:tblLook w:firstColumn="1" w:firstRow="1" w:lastColumn="0" w:lastRow="0" w:noHBand="0" w:noVBand="1" w:val="04A0"/>
      </w:tblPr>
      <w:tblGrid>
        <w:gridCol w:w="3298"/>
        <w:gridCol w:w="3298"/>
        <w:gridCol w:w="3298"/>
      </w:tblGrid>
      <w:tr>
        <w:trPr>
          <w:trHeight w:val="360"/>
          <w:tblHeader/>
          <w:cantSplit/>
        </w:trPr>
        <w:tc>
          <w:tcPr>
            <w:tcW w:type="dxa" w:w="3298"/>
          </w:tcPr>
          <w:p>
            <w:pPr>
              <w:spacing w:after="60"/>
            </w:pPr>
            <w:r>
              <w:rPr>
                <w:sz w:val="16"/>
              </w:rPr>
              <w:t>Dossier ou prochaine action</w:t>
            </w:r>
          </w:p>
        </w:tc>
        <w:tc>
          <w:tcPr>
            <w:tcW w:type="dxa" w:w="3298"/>
          </w:tcPr>
          <w:p>
            <w:pPr>
              <w:spacing w:after="60"/>
            </w:pPr>
            <w:r>
              <w:rPr>
                <w:sz w:val="16"/>
              </w:rPr>
              <w:t>Interlocuteur</w:t>
            </w:r>
          </w:p>
        </w:tc>
        <w:tc>
          <w:tcPr>
            <w:tcW w:type="dxa" w:w="3298"/>
          </w:tcPr>
          <w:p>
            <w:pPr>
              <w:spacing w:after="60"/>
            </w:pPr>
            <w:r>
              <w:rPr>
                <w:sz w:val="16"/>
              </w:rPr>
              <w:t>Date à vérifier</w:t>
            </w:r>
          </w:p>
        </w:tc>
      </w:tr>
      <w:tr>
        <w:trPr>
          <w:trHeight w:val="360"/>
          <w:cantSplit/>
        </w:trPr>
        <w:tc>
          <w:tcPr>
            <w:tcW w:type="dxa" w:w="3298"/>
          </w:tcPr>
          <w:p>
            <w:pPr>
              <w:spacing w:after="60"/>
            </w:pPr>
            <w:r>
              <w:rPr>
                <w:sz w:val="16"/>
              </w:rPr>
            </w:r>
          </w:p>
        </w:tc>
        <w:tc>
          <w:tcPr>
            <w:tcW w:type="dxa" w:w="3298"/>
          </w:tcPr>
          <w:p>
            <w:pPr>
              <w:spacing w:after="60"/>
            </w:pPr>
            <w:r>
              <w:rPr>
                <w:sz w:val="16"/>
              </w:rPr>
            </w:r>
          </w:p>
        </w:tc>
        <w:tc>
          <w:tcPr>
            <w:tcW w:type="dxa" w:w="3298"/>
          </w:tcPr>
          <w:p>
            <w:pPr>
              <w:spacing w:after="60"/>
            </w:pPr>
            <w:r>
              <w:rPr>
                <w:sz w:val="16"/>
              </w:rPr>
            </w:r>
          </w:p>
        </w:tc>
      </w:tr>
      <w:tr>
        <w:trPr>
          <w:trHeight w:val="360"/>
          <w:cantSplit/>
        </w:trPr>
        <w:tc>
          <w:tcPr>
            <w:tcW w:type="dxa" w:w="3298"/>
          </w:tcPr>
          <w:p>
            <w:pPr>
              <w:spacing w:after="60"/>
            </w:pPr>
            <w:r>
              <w:rPr>
                <w:sz w:val="16"/>
              </w:rPr>
            </w:r>
          </w:p>
        </w:tc>
        <w:tc>
          <w:tcPr>
            <w:tcW w:type="dxa" w:w="3298"/>
          </w:tcPr>
          <w:p>
            <w:pPr>
              <w:spacing w:after="60"/>
            </w:pPr>
            <w:r>
              <w:rPr>
                <w:sz w:val="16"/>
              </w:rPr>
            </w:r>
          </w:p>
        </w:tc>
        <w:tc>
          <w:tcPr>
            <w:tcW w:type="dxa" w:w="3298"/>
          </w:tcPr>
          <w:p>
            <w:pPr>
              <w:spacing w:after="60"/>
            </w:pPr>
            <w:r>
              <w:rPr>
                <w:sz w:val="16"/>
              </w:rPr>
            </w:r>
          </w:p>
        </w:tc>
      </w:tr>
      <w:tr>
        <w:trPr>
          <w:trHeight w:val="360"/>
          <w:cantSplit/>
        </w:trPr>
        <w:tc>
          <w:tcPr>
            <w:tcW w:type="dxa" w:w="3298"/>
          </w:tcPr>
          <w:p>
            <w:pPr>
              <w:spacing w:after="60"/>
            </w:pPr>
            <w:r>
              <w:rPr>
                <w:sz w:val="16"/>
              </w:rPr>
            </w:r>
          </w:p>
        </w:tc>
        <w:tc>
          <w:tcPr>
            <w:tcW w:type="dxa" w:w="3298"/>
          </w:tcPr>
          <w:p>
            <w:pPr>
              <w:spacing w:after="60"/>
            </w:pPr>
            <w:r>
              <w:rPr>
                <w:sz w:val="16"/>
              </w:rPr>
            </w:r>
          </w:p>
        </w:tc>
        <w:tc>
          <w:tcPr>
            <w:tcW w:type="dxa" w:w="3298"/>
          </w:tcPr>
          <w:p>
            <w:pPr>
              <w:spacing w:after="60"/>
            </w:pPr>
            <w:r>
              <w:rPr>
                <w:sz w:val="16"/>
              </w:rPr>
            </w:r>
          </w:p>
        </w:tc>
      </w:tr>
    </w:tbl>
    <w:p>
      <w:r>
        <w:t>La continuité d’une GLI ou la reprise d’un sinistre n’est pas automatique. Confirmez les conditions avec l’assureur et les intervenants. Ne transmettez que les données utiles aux personnes chargées du dossier, par un canal approprié.</w:t>
      </w:r>
    </w:p>
    <w:p>
      <w:r>
        <w:t>Guide : https://prestigeinvest.fr/comparer-mandats-gestion-locative</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4"/>
      </w:rPr>
      <w:t xml:space="preserve">Prestige Investissement | prestigeinvest.fr | Modèle vierge | 14 octobre 2026 | </w:t>
    </w:r>
    <w:r>
      <w:rPr>
        <w:sz w:val="14"/>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2434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4343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4343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